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EF99" w14:textId="77777777" w:rsidR="00A7534E" w:rsidRDefault="00A7534E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NOTA DE PRENSA</w:t>
      </w:r>
    </w:p>
    <w:p w14:paraId="48BE83EC" w14:textId="77777777" w:rsidR="00A7534E" w:rsidRDefault="00A7534E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9061254" w14:textId="77777777" w:rsidR="00C04A88" w:rsidRDefault="00C04A88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2BAE1A0B" wp14:editId="6D68A1D6">
            <wp:extent cx="5760720" cy="3241040"/>
            <wp:effectExtent l="0" t="0" r="0" b="0"/>
            <wp:docPr id="4" name="Imagen 4" descr="Imagen que contiene pez, árbol, mo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pez, árbol, motor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60A8" w14:textId="77777777" w:rsidR="00C04A88" w:rsidRDefault="00C04A88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2D95E1E6" w14:textId="6A0812F6" w:rsidR="000A7934" w:rsidRDefault="000A7934">
      <w:pPr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4E164D8" w14:textId="6534B748" w:rsidR="000A7934" w:rsidRPr="000A7934" w:rsidRDefault="002E2EB3" w:rsidP="000A7934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Imarpe</w:t>
      </w:r>
      <w:proofErr w:type="spellEnd"/>
      <w:r w:rsidR="000A7934" w:rsidRPr="000A793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Inició crucero </w:t>
      </w:r>
      <w:proofErr w:type="spellStart"/>
      <w:r w:rsidR="000A7934" w:rsidRPr="000A7934">
        <w:rPr>
          <w:rFonts w:ascii="Calibri" w:eastAsia="Calibri" w:hAnsi="Calibri" w:cs="Calibri"/>
          <w:b/>
          <w:bCs/>
          <w:color w:val="000000"/>
          <w:sz w:val="22"/>
          <w:szCs w:val="22"/>
        </w:rPr>
        <w:t>hidroacústico</w:t>
      </w:r>
      <w:proofErr w:type="spellEnd"/>
      <w:r w:rsidR="000A7934" w:rsidRPr="000A793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para evaluar stock de la anchoveta y determinar inicio de Segunda Temporada de Pesca 2020</w:t>
      </w:r>
    </w:p>
    <w:p w14:paraId="10F996B1" w14:textId="77777777" w:rsid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8FF4CC" w14:textId="77777777" w:rsidR="000A7934" w:rsidRDefault="000A7934" w:rsidP="000A7934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El crucero culminará el próximo 13 de noviembre y cubrirá el área marítima entre Tumbes y Tacna. </w:t>
      </w:r>
    </w:p>
    <w:p w14:paraId="3E6C1C89" w14:textId="49186964" w:rsidR="000A7934" w:rsidRPr="000A7934" w:rsidRDefault="000A7934" w:rsidP="000A7934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i/>
          <w:iCs/>
          <w:color w:val="000000"/>
          <w:sz w:val="22"/>
          <w:szCs w:val="22"/>
        </w:rPr>
        <w:t>Participan los Buques de Investigación Científica: BIC Humboldt y BIC Luis Flores Portugal, así como seis embarcaciones pesqueras comerciales.</w:t>
      </w:r>
    </w:p>
    <w:p w14:paraId="1FF3C578" w14:textId="77777777" w:rsid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405182" w14:textId="548F7E79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t>El Ministerio de la Producción (Produce), a través del Instituto del Mar del Perú (</w:t>
      </w:r>
      <w:proofErr w:type="spellStart"/>
      <w:r w:rsidRPr="000A7934">
        <w:rPr>
          <w:rFonts w:ascii="Calibri" w:eastAsia="Calibri" w:hAnsi="Calibri" w:cs="Calibri"/>
          <w:color w:val="000000"/>
          <w:sz w:val="22"/>
          <w:szCs w:val="22"/>
        </w:rPr>
        <w:t>Imarpe</w:t>
      </w:r>
      <w:proofErr w:type="spellEnd"/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), inició esta semana la puesta en marcha del “Crucero de Evaluación </w:t>
      </w:r>
      <w:proofErr w:type="spellStart"/>
      <w:r w:rsidRPr="000A7934">
        <w:rPr>
          <w:rFonts w:ascii="Calibri" w:eastAsia="Calibri" w:hAnsi="Calibri" w:cs="Calibri"/>
          <w:color w:val="000000"/>
          <w:sz w:val="22"/>
          <w:szCs w:val="22"/>
        </w:rPr>
        <w:t>Hidroacústica</w:t>
      </w:r>
      <w:proofErr w:type="spellEnd"/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 de Recursos Pelágicos” con el objetivo de evaluar el stock de la anchoveta y para determinar la cuota de la segunda temporada de pesca 2020 en la zona norte-centro del país.</w:t>
      </w:r>
    </w:p>
    <w:p w14:paraId="6183DDF0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E627D1" w14:textId="654D7488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El pasado 22 de </w:t>
      </w:r>
      <w:r>
        <w:rPr>
          <w:rFonts w:ascii="Calibri" w:eastAsia="Calibri" w:hAnsi="Calibri" w:cs="Calibri"/>
          <w:color w:val="000000"/>
          <w:sz w:val="22"/>
          <w:szCs w:val="22"/>
        </w:rPr>
        <w:t>setiembre</w:t>
      </w:r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 el Buque de Investigación Científica (BIC) “Luis Flores Portugal” zarpó desde Paita para realizar actividades científicas con el apoyo de tres embarcaciones comerciales.</w:t>
      </w:r>
    </w:p>
    <w:p w14:paraId="0A92386C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8B4341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t>Se informó que el crucero tendrá una duración de 53 días y culminará el 13 de noviembre, abarcando el área marítima entre Tumbes y Tacna. Por ello en los próximos días se unirá el BIC “Humboldt” y tres embarcaciones comerciales equipadas con moderna tecnología de detección que apoyarán en esta investigación.</w:t>
      </w:r>
    </w:p>
    <w:p w14:paraId="479FDB0C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A32B4E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lastRenderedPageBreak/>
        <w:t>Asimismo, se detalló que son 75 personas entre científicos y técnicos, quienes realizarán este trabajo de investigación multidisciplinario, aplicando los protocolos de bioseguridad y de prevención ante el Covid-19 establecidos por el Ministerio de Salud y las directivas de Seguridad y Salud en Trabajo del IMARPE.</w:t>
      </w:r>
    </w:p>
    <w:p w14:paraId="40C14845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FE5F59" w14:textId="77777777" w:rsidR="000A7934" w:rsidRPr="000A7934" w:rsidRDefault="000A7934" w:rsidP="000A7934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b/>
          <w:bCs/>
          <w:color w:val="000000"/>
          <w:sz w:val="22"/>
          <w:szCs w:val="22"/>
        </w:rPr>
        <w:t>Objeto de estudio</w:t>
      </w:r>
    </w:p>
    <w:p w14:paraId="269CC2D5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EB35A0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t>Produce destacó que este crucero científico permitirá determinar la condición biológica, distribución, concentración, estructura poblacional y biomasa de anchoveta en relación con las variables ambientales tanto en la región norte-centro como en la región sur del litoral peruano, información que permitirá estimar el marco de sostenibilidad para definir el volumen de la captura permisible y determinar el inicio de la Segunda Temporada de Pesca 2020.</w:t>
      </w:r>
    </w:p>
    <w:p w14:paraId="68752991" w14:textId="77777777" w:rsidR="000A7934" w:rsidRP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CC6279" w14:textId="098D493B" w:rsid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Seguidamente, se iniciará la última etapa del proceso de evaluación de la anchoveta, que es la de integración y síntesis de toda la información recopilada en las distintas actividades realizadas, incluyendo el crucero de estimación de la biomasa </w:t>
      </w:r>
      <w:proofErr w:type="spellStart"/>
      <w:r w:rsidRPr="000A7934">
        <w:rPr>
          <w:rFonts w:ascii="Calibri" w:eastAsia="Calibri" w:hAnsi="Calibri" w:cs="Calibri"/>
          <w:color w:val="000000"/>
          <w:sz w:val="22"/>
          <w:szCs w:val="22"/>
        </w:rPr>
        <w:t>desovante</w:t>
      </w:r>
      <w:proofErr w:type="spellEnd"/>
      <w:r w:rsidRPr="000A7934">
        <w:rPr>
          <w:rFonts w:ascii="Calibri" w:eastAsia="Calibri" w:hAnsi="Calibri" w:cs="Calibri"/>
          <w:color w:val="000000"/>
          <w:sz w:val="22"/>
          <w:szCs w:val="22"/>
        </w:rPr>
        <w:t xml:space="preserve"> de anchoveta en la región norte-centro, efectuado del 2 al 20 de setiembre, y que concluirá con el informe técnico final con los resultados y recomendaciones al Ministerio de la Producción, para que adopten las medidas pertinentes.</w:t>
      </w:r>
    </w:p>
    <w:p w14:paraId="0C3F0EA4" w14:textId="6A215183" w:rsidR="000A7934" w:rsidRDefault="000A7934" w:rsidP="000A793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4107AD" w14:textId="5607651B" w:rsidR="000A7934" w:rsidRDefault="000A7934" w:rsidP="000A7934">
      <w:pPr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Callao 26 de setiembre 2020</w:t>
      </w:r>
    </w:p>
    <w:sectPr w:rsidR="000A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694" w:right="1275" w:bottom="1985" w:left="1560" w:header="425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6389" w14:textId="77777777" w:rsidR="0077198A" w:rsidRDefault="0077198A">
      <w:r>
        <w:separator/>
      </w:r>
    </w:p>
  </w:endnote>
  <w:endnote w:type="continuationSeparator" w:id="0">
    <w:p w14:paraId="07618DF4" w14:textId="77777777" w:rsidR="0077198A" w:rsidRDefault="007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EF55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6B66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595959"/>
        <w:sz w:val="18"/>
        <w:szCs w:val="18"/>
      </w:rPr>
    </w:pPr>
    <w:r>
      <w:rPr>
        <w:rFonts w:ascii="Calibri" w:eastAsia="Calibri" w:hAnsi="Calibri" w:cs="Calibri"/>
        <w:color w:val="595959"/>
        <w:sz w:val="14"/>
        <w:szCs w:val="14"/>
      </w:rPr>
      <w:t xml:space="preserve">Instituto del Mar del </w:t>
    </w:r>
    <w:proofErr w:type="gramStart"/>
    <w:r>
      <w:rPr>
        <w:rFonts w:ascii="Calibri" w:eastAsia="Calibri" w:hAnsi="Calibri" w:cs="Calibri"/>
        <w:color w:val="595959"/>
        <w:sz w:val="14"/>
        <w:szCs w:val="14"/>
      </w:rPr>
      <w:t xml:space="preserve">Perú  </w:t>
    </w:r>
    <w:r>
      <w:rPr>
        <w:rFonts w:ascii="Calibri" w:eastAsia="Calibri" w:hAnsi="Calibri" w:cs="Calibri"/>
        <w:color w:val="FF0000"/>
        <w:sz w:val="14"/>
        <w:szCs w:val="14"/>
      </w:rPr>
      <w:t>|</w:t>
    </w:r>
    <w:proofErr w:type="gramEnd"/>
    <w:r>
      <w:rPr>
        <w:rFonts w:ascii="Calibri" w:eastAsia="Calibri" w:hAnsi="Calibri" w:cs="Calibri"/>
        <w:color w:val="595959"/>
        <w:sz w:val="14"/>
        <w:szCs w:val="14"/>
      </w:rPr>
      <w:t xml:space="preserve">  Esquina Gamarra y General Valle s/n, Chucuito - Callao  </w:t>
    </w:r>
    <w:r>
      <w:rPr>
        <w:rFonts w:ascii="Calibri" w:eastAsia="Calibri" w:hAnsi="Calibri" w:cs="Calibri"/>
        <w:color w:val="FF0000"/>
        <w:sz w:val="14"/>
        <w:szCs w:val="14"/>
      </w:rPr>
      <w:t>|</w:t>
    </w:r>
    <w:r>
      <w:rPr>
        <w:rFonts w:ascii="Calibri" w:eastAsia="Calibri" w:hAnsi="Calibri" w:cs="Calibri"/>
        <w:color w:val="595959"/>
        <w:sz w:val="14"/>
        <w:szCs w:val="14"/>
      </w:rPr>
      <w:t xml:space="preserve">  T. (051) 208 8650 </w:t>
    </w:r>
    <w:r>
      <w:rPr>
        <w:rFonts w:ascii="Calibri" w:eastAsia="Calibri" w:hAnsi="Calibri" w:cs="Calibri"/>
        <w:color w:val="FF0000"/>
        <w:sz w:val="14"/>
        <w:szCs w:val="14"/>
      </w:rPr>
      <w:t>|</w:t>
    </w:r>
    <w:r>
      <w:rPr>
        <w:rFonts w:ascii="Calibri" w:eastAsia="Calibri" w:hAnsi="Calibri" w:cs="Calibri"/>
        <w:color w:val="595959"/>
        <w:sz w:val="14"/>
        <w:szCs w:val="14"/>
      </w:rPr>
      <w:t xml:space="preserve">  www.imarpe.gob.pe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3D152F" wp14:editId="10626207">
          <wp:simplePos x="0" y="0"/>
          <wp:positionH relativeFrom="column">
            <wp:posOffset>3657600</wp:posOffset>
          </wp:positionH>
          <wp:positionV relativeFrom="paragraph">
            <wp:posOffset>-801365</wp:posOffset>
          </wp:positionV>
          <wp:extent cx="2065020" cy="63627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0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7ADD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C8B7" w14:textId="77777777" w:rsidR="0077198A" w:rsidRDefault="0077198A">
      <w:r>
        <w:separator/>
      </w:r>
    </w:p>
  </w:footnote>
  <w:footnote w:type="continuationSeparator" w:id="0">
    <w:p w14:paraId="79281549" w14:textId="77777777" w:rsidR="0077198A" w:rsidRDefault="0077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CDCA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405A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3A521C" wp14:editId="646CEEF6">
          <wp:simplePos x="0" y="0"/>
          <wp:positionH relativeFrom="column">
            <wp:posOffset>3762375</wp:posOffset>
          </wp:positionH>
          <wp:positionV relativeFrom="paragraph">
            <wp:posOffset>142875</wp:posOffset>
          </wp:positionV>
          <wp:extent cx="1852613" cy="56139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561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E683CE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1837B2" wp14:editId="361D89D2">
          <wp:simplePos x="0" y="0"/>
          <wp:positionH relativeFrom="column">
            <wp:posOffset>-114294</wp:posOffset>
          </wp:positionH>
          <wp:positionV relativeFrom="paragraph">
            <wp:posOffset>22860</wp:posOffset>
          </wp:positionV>
          <wp:extent cx="2171700" cy="44196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B37C7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br/>
    </w:r>
  </w:p>
  <w:p w14:paraId="5C777AC6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EADE195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808080"/>
        <w:sz w:val="18"/>
        <w:szCs w:val="18"/>
      </w:rPr>
    </w:pPr>
  </w:p>
  <w:p w14:paraId="1FB4014D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jc w:val="center"/>
      <w:rPr>
        <w:rFonts w:ascii="Calibri" w:eastAsia="Calibri" w:hAnsi="Calibri" w:cs="Calibri"/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20"/>
        <w:szCs w:val="20"/>
      </w:rPr>
      <w:t>"Decenio de la Igualdad de Oportunidades para mujeres y hombres”</w:t>
    </w:r>
  </w:p>
  <w:p w14:paraId="57A2974D" w14:textId="77777777" w:rsidR="00480AF7" w:rsidRDefault="00311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“Año de la universalización de la salud”</w:t>
    </w:r>
  </w:p>
  <w:p w14:paraId="139344E2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F713" w14:textId="77777777" w:rsidR="00480AF7" w:rsidRDefault="00480A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1884"/>
    <w:multiLevelType w:val="hybridMultilevel"/>
    <w:tmpl w:val="4AECC1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544"/>
    <w:multiLevelType w:val="multilevel"/>
    <w:tmpl w:val="5502B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64D97"/>
    <w:multiLevelType w:val="hybridMultilevel"/>
    <w:tmpl w:val="A9244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790A"/>
    <w:multiLevelType w:val="hybridMultilevel"/>
    <w:tmpl w:val="C63438CA"/>
    <w:lvl w:ilvl="0" w:tplc="A75E6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7"/>
    <w:rsid w:val="000A7934"/>
    <w:rsid w:val="002E2EB3"/>
    <w:rsid w:val="00311612"/>
    <w:rsid w:val="00445B60"/>
    <w:rsid w:val="0044751C"/>
    <w:rsid w:val="00480AF7"/>
    <w:rsid w:val="006E0331"/>
    <w:rsid w:val="007319BB"/>
    <w:rsid w:val="0077198A"/>
    <w:rsid w:val="008316E4"/>
    <w:rsid w:val="00A7534E"/>
    <w:rsid w:val="00A82F2F"/>
    <w:rsid w:val="00BB6313"/>
    <w:rsid w:val="00C04A88"/>
    <w:rsid w:val="00DD4147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351FA"/>
  <w15:docId w15:val="{8E1473EA-6B54-48D8-BB55-BD73F4D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A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lacherre</cp:lastModifiedBy>
  <cp:revision>4</cp:revision>
  <cp:lastPrinted>2020-09-28T18:39:00Z</cp:lastPrinted>
  <dcterms:created xsi:type="dcterms:W3CDTF">2020-09-28T18:29:00Z</dcterms:created>
  <dcterms:modified xsi:type="dcterms:W3CDTF">2020-09-28T19:01:00Z</dcterms:modified>
</cp:coreProperties>
</file>